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サン技建を知る</w:t>
      </w:r>
    </w:p>
    <w:p>
      <w:pPr>
        <w:pStyle w:val="Note"/>
      </w:pPr>
      <w:r>
        <w:t xml:space="preserve">株式会社サン技建コンサルタント｜ホームページ案 原稿確認用（about.html）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サン技建は何をしている会社か</w:t>
      </w:r>
    </w:p>
    <w:p>
      <w:pPr>
        <w:pStyle w:val="Photo"/>
      </w:pPr>
      <w:r>
        <w:t xml:space="preserve">写真：高速道路の橋梁を見上げる技術者の後ろ姿</w:t>
      </w:r>
    </w:p>
    <w:p>
      <w:r>
        <w:t xml:space="preserve">サン技建コンサルタントは愛知県清須市に位置し、土木工事や建設コンサルタント業務などを通して、この街の快適な暮らしを守り続けています。</w:t>
      </w:r>
    </w:p>
    <w:p>
      <w:r>
        <w:t xml:space="preserve">高速道路や橋梁、トンネル、河川、ダムなどの社会インフラを対象に、発注者側での技術支援、工事の施工管理、構造物の点検・保全を行っています。インフラを管理する側の技術者として、工事や構造物を確かめ、記録し、判断の材料を整えるのが私たちの仕事です。</w:t>
      </w:r>
    </w:p>
    <w:p>
      <w:pPr>
        <w:pStyle w:val="Question"/>
      </w:pPr>
      <w:r>
        <w:t xml:space="preserve">【バナー】発注者・サン技建・施工会社の役割</w:t>
      </w:r>
    </w:p>
    <w:p>
      <w:r>
        <w:t xml:space="preserve">仕事の全体像と関わるインフラは「仕事を知る」で紹介しています</w:t>
      </w:r>
    </w:p>
    <w:p>
      <w:pPr>
        <w:pStyle w:val="Heading2"/>
      </w:pPr>
      <w:r>
        <w:t xml:space="preserve">豊富な実績と優れた技術を活かして、この街に貢献したい。</w:t>
      </w:r>
    </w:p>
    <w:p>
      <w:r>
        <w:t xml:space="preserve">サン技建コンサルタントは、土木・建築工事の企画・調査や測量に加え、建設コンサルタント業務や派遣業務をおこなう会社です。これまで培ってきた高い技術力と万全の設備を備え、専門性の高い優秀なスタッフがお客様のあらゆるご要望にお応えしてまいりました。当社の仕事は、お客様の安全に関わるものであるため、妥協を許さない職人の集団として一人ひとりが自覚を持って仕事をしています。今後も技術力を磨き、お客様の安心・安全を最優先に、この街の快適な暮らしに貢献してまいります。</w:t>
      </w:r>
    </w:p>
    <w:p>
      <w:pPr>
        <w:pStyle w:val="Heading2"/>
      </w:pPr>
      <w:r>
        <w:t xml:space="preserve">事業内容・対応エリア</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事業内容</w:t>
            </w:r>
          </w:p>
        </w:tc>
        <w:tc>
          <w:tcPr>
            <w:tcW w:w="6300" w:type="dxa"/>
          </w:tcPr>
          <w:p>
            <w:pPr>
              <w:pStyle w:val="TableText"/>
            </w:pPr>
            <w:r>
              <w:t xml:space="preserve">土木工事に関する企画、調査、測量、設計、管理業務</w:t>
              <w:br/>
              <w:t xml:space="preserve">建設コンサルタント業［現場技術業務、施工計画・施工設備及び設計積算］</w:t>
              <w:br/>
              <w:t xml:space="preserve">労働者派遣事業</w:t>
              <w:br/>
              <w:t xml:space="preserve">有料職業紹介事業</w:t>
            </w:r>
          </w:p>
        </w:tc>
      </w:tr>
      <w:tr>
        <w:tc>
          <w:tcPr>
            <w:tcW w:w="2700" w:type="dxa"/>
            <w:shd w:val="clear" w:color="auto" w:fill="F3EFEC"/>
          </w:tcPr>
          <w:p>
            <w:pPr>
              <w:pStyle w:val="TableText"/>
            </w:pPr>
            <w:r>
              <w:rPr>
                <w:b/>
              </w:rPr>
              <w:t xml:space="preserve">主な業務</w:t>
            </w:r>
          </w:p>
        </w:tc>
        <w:tc>
          <w:tcPr>
            <w:tcW w:w="6300" w:type="dxa"/>
          </w:tcPr>
          <w:p>
            <w:pPr>
              <w:pStyle w:val="TableText"/>
            </w:pPr>
            <w:r>
              <w:t xml:space="preserve">発注者支援業務、施工管理業務、点検・保全業務、行政事務の補助</w:t>
            </w:r>
          </w:p>
        </w:tc>
      </w:tr>
      <w:tr>
        <w:tc>
          <w:tcPr>
            <w:tcW w:w="2700" w:type="dxa"/>
            <w:shd w:val="clear" w:color="auto" w:fill="F3EFEC"/>
          </w:tcPr>
          <w:p>
            <w:pPr>
              <w:pStyle w:val="TableText"/>
            </w:pPr>
            <w:r>
              <w:rPr>
                <w:b/>
              </w:rPr>
              <w:t xml:space="preserve">分野</w:t>
            </w:r>
          </w:p>
        </w:tc>
        <w:tc>
          <w:tcPr>
            <w:tcW w:w="6300" w:type="dxa"/>
          </w:tcPr>
          <w:p>
            <w:pPr>
              <w:pStyle w:val="TableText"/>
            </w:pPr>
            <w:r>
              <w:t xml:space="preserve">土木・電気・機械</w:t>
            </w:r>
          </w:p>
        </w:tc>
      </w:tr>
      <w:tr>
        <w:tc>
          <w:tcPr>
            <w:tcW w:w="2700" w:type="dxa"/>
            <w:shd w:val="clear" w:color="auto" w:fill="F3EFEC"/>
          </w:tcPr>
          <w:p>
            <w:pPr>
              <w:pStyle w:val="TableText"/>
            </w:pPr>
            <w:r>
              <w:rPr>
                <w:b/>
              </w:rPr>
              <w:t xml:space="preserve">業務を行っている府県</w:t>
            </w:r>
          </w:p>
        </w:tc>
        <w:tc>
          <w:tcPr>
            <w:tcW w:w="6300" w:type="dxa"/>
          </w:tcPr>
          <w:p>
            <w:pPr>
              <w:pStyle w:val="TableText"/>
            </w:pPr>
            <w:r>
              <w:t xml:space="preserve">群馬、愛知、岐阜、三重、滋賀、兵庫、岡山、広島、山口、徳島、香川、愛媛、福岡（13府県）</w:t>
            </w:r>
          </w:p>
        </w:tc>
      </w:tr>
      <w:tr>
        <w:tc>
          <w:tcPr>
            <w:tcW w:w="2700" w:type="dxa"/>
            <w:shd w:val="clear" w:color="auto" w:fill="F3EFEC"/>
          </w:tcPr>
          <w:p>
            <w:pPr>
              <w:pStyle w:val="TableText"/>
            </w:pPr>
            <w:r>
              <w:rPr>
                <w:b/>
              </w:rPr>
              <w:t xml:space="preserve">事務所</w:t>
            </w:r>
          </w:p>
        </w:tc>
        <w:tc>
          <w:tcPr>
            <w:tcW w:w="6300" w:type="dxa"/>
          </w:tcPr>
          <w:p>
            <w:pPr>
              <w:pStyle w:val="TableText"/>
            </w:pPr>
            <w:r>
              <w:t xml:space="preserve">愛知県（本社）、岡山県</w:t>
            </w:r>
          </w:p>
        </w:tc>
      </w:tr>
    </w:tbl>
    <w:p/>
    <w:p>
      <w:r>
        <w:t xml:space="preserve">労働者派遣や有料職業紹介についてもご依頼を承っております。人材やお仕事の紹介などでお困りでしたら、ぜひ一度ご相談ください。</w:t>
      </w:r>
    </w:p>
    <w:p>
      <w:pPr>
        <w:pStyle w:val="Question"/>
      </w:pPr>
      <w:r>
        <w:t xml:space="preserve">【バナー】業務・人材派遣のお問い合わせ</w:t>
      </w:r>
    </w:p>
    <w:p>
      <w:r>
        <w:t xml:space="preserve">土木・建設工事や派遣についてのご相談はこちら</w:t>
      </w:r>
    </w:p>
    <w:p>
      <w:pPr>
        <w:pStyle w:val="Heading2"/>
      </w:pPr>
      <w:r>
        <w:t xml:space="preserve">会社の強み</w:t>
      </w:r>
    </w:p>
    <w:p>
      <w:pPr>
        <w:pStyle w:val="Photo"/>
      </w:pPr>
      <w:r>
        <w:t xml:space="preserve">写真：面接室で候補者と話す社長（後ろ姿・手元など）</w:t>
      </w:r>
    </w:p>
    <w:p>
      <w:pPr>
        <w:pStyle w:val="Heading3"/>
      </w:pPr>
      <w:r>
        <w:t xml:space="preserve">社長が選考に必ず同席</w:t>
      </w:r>
    </w:p>
    <w:p>
      <w:r>
        <w:t xml:space="preserve">一人ひとりと直接話し、仕事の中身や配属の考え方を入社前にお伝えしています。</w:t>
      </w:r>
    </w:p>
    <w:p>
      <w:pPr>
        <w:pStyle w:val="Photo"/>
      </w:pPr>
      <w:r>
        <w:t xml:space="preserve">写真：資格証や点検道具が並ぶデスク</w:t>
      </w:r>
    </w:p>
    <w:p>
      <w:pPr>
        <w:pStyle w:val="Heading3"/>
      </w:pPr>
      <w:r>
        <w:t xml:space="preserve">資格を持つ技術者が多い</w:t>
      </w:r>
    </w:p>
    <w:p>
      <w:r>
        <w:t xml:space="preserve">施工管理技士や高速道路点検士など、業務に直結する資格を持つ技術者が多く在籍しています。</w:t>
      </w:r>
    </w:p>
    <w:p>
      <w:pPr>
        <w:pStyle w:val="Photo"/>
      </w:pPr>
      <w:r>
        <w:t xml:space="preserve">写真：社員同士が談笑する事務所の様子</w:t>
      </w:r>
    </w:p>
    <w:p>
      <w:pPr>
        <w:pStyle w:val="Heading3"/>
      </w:pPr>
      <w:r>
        <w:t xml:space="preserve">人が定着する会社へ</w:t>
      </w:r>
    </w:p>
    <w:p>
      <w:r>
        <w:t xml:space="preserve">採用の進め方を見直し、離職率は大きく下がりました。</w:t>
      </w:r>
    </w:p>
    <w:p>
      <w:pPr>
        <w:pStyle w:val="Question"/>
      </w:pPr>
      <w:r>
        <w:t xml:space="preserve">【バナー】数字で見るサン技建</w:t>
      </w:r>
    </w:p>
    <w:p>
      <w:r>
        <w:t xml:space="preserve">資格所有者一覧・離職率などのデータ</w:t>
      </w:r>
    </w:p>
    <w:p>
      <w:pPr>
        <w:pStyle w:val="Heading2"/>
      </w:pPr>
      <w:r>
        <w:t xml:space="preserve">これからの方向性</w:t>
      </w:r>
    </w:p>
    <w:p>
      <w:r>
        <w:t xml:space="preserve">私たちは地域に貢献し、地域から信頼され、地域と共に長く発展し続ける企業を目指します。ベテラン技術者が多い一方で、若い世代への技術の引き継ぎはこれからの課題です。だからこそ若手の採用と育成に力を入れ、社内の体制を一つずつ整えています。</w:t>
      </w:r>
    </w:p>
    <w:p>
      <w:pPr>
        <w:pStyle w:val="ListText"/>
      </w:pPr>
      <w:r>
        <w:t xml:space="preserve">・20〜40代の技術者の採用と育成</w:t>
      </w:r>
    </w:p>
    <w:p>
      <w:pPr>
        <w:pStyle w:val="ListText"/>
      </w:pPr>
      <w:r>
        <w:t xml:space="preserve">・役割のある課長制など、社内体制の整備</w:t>
      </w:r>
    </w:p>
    <w:p>
      <w:pPr>
        <w:pStyle w:val="ListText"/>
      </w:pPr>
      <w:r>
        <w:t xml:space="preserve">・健康面の支えなど、福利厚生の拡充</w:t>
      </w:r>
    </w:p>
    <w:p>
      <w:pPr>
        <w:pStyle w:val="ListText"/>
      </w:pPr>
      <w:r>
        <w:t xml:space="preserve">・業務エリアの拡大（山陰・関西などを検討中）</w:t>
      </w:r>
    </w:p>
    <w:p>
      <w:pPr>
        <w:pStyle w:val="Heading2"/>
      </w:pPr>
      <w:r>
        <w:t xml:space="preserve">環境への取り組み（カーボン・オフセット）</w:t>
      </w:r>
    </w:p>
    <w:p>
      <w:pPr>
        <w:pStyle w:val="Photo"/>
      </w:pPr>
      <w:r>
        <w:t xml:space="preserve">写真：カーボン・オフセットの説明図（現行サイトの図版）</w:t>
      </w:r>
    </w:p>
    <w:p>
      <w:r>
        <w:t xml:space="preserve">わたしたちは、地球環境を考えた取り組みとして、カーボン・オフセットによるCO2排出削減に貢献しています。燃料電池の導入により創出されたJ-クレジットを活用して、ホームページの作成を通じた環境貢献を行っています。</w:t>
      </w:r>
    </w:p>
    <w:p>
      <w:r>
        <w:t xml:space="preserve">カーボン・オフセットとは、企業活動を通じて排出される二酸化炭素などの温室効果ガスをできるだけ削減し、どうしても削減できない排出の一部または全部を、クレジットを購入することで他の場所で吸収・削減し、埋め合わせることです。</w:t>
      </w:r>
    </w:p>
    <w:p>
      <w:r>
        <w:t xml:space="preserve">JCL-400-000-004-475-855</w:t>
      </w:r>
    </w:p>
    <w:p>
      <w:pPr>
        <w:pStyle w:val="Heading2"/>
      </w:pPr>
      <w:r>
        <w:t xml:space="preserve">会社概要</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商号</w:t>
            </w:r>
          </w:p>
        </w:tc>
        <w:tc>
          <w:tcPr>
            <w:tcW w:w="6300" w:type="dxa"/>
          </w:tcPr>
          <w:p>
            <w:pPr>
              <w:pStyle w:val="TableText"/>
            </w:pPr>
            <w:r>
              <w:t xml:space="preserve">株式会社サン技建コンサルタント</w:t>
            </w:r>
          </w:p>
        </w:tc>
      </w:tr>
      <w:tr>
        <w:tc>
          <w:tcPr>
            <w:tcW w:w="2700" w:type="dxa"/>
            <w:shd w:val="clear" w:color="auto" w:fill="F3EFEC"/>
          </w:tcPr>
          <w:p>
            <w:pPr>
              <w:pStyle w:val="TableText"/>
            </w:pPr>
            <w:r>
              <w:rPr>
                <w:b/>
              </w:rPr>
              <w:t xml:space="preserve">所在地</w:t>
            </w:r>
          </w:p>
        </w:tc>
        <w:tc>
          <w:tcPr>
            <w:tcW w:w="6300" w:type="dxa"/>
          </w:tcPr>
          <w:p>
            <w:pPr>
              <w:pStyle w:val="TableText"/>
            </w:pPr>
            <w:r>
              <w:t xml:space="preserve">〒452-0912 愛知県清須市須ケ口駅前一丁目17番地 メゾン須ケ口Ⅱ 2F</w:t>
            </w:r>
          </w:p>
        </w:tc>
      </w:tr>
      <w:tr>
        <w:tc>
          <w:tcPr>
            <w:tcW w:w="2700" w:type="dxa"/>
            <w:shd w:val="clear" w:color="auto" w:fill="F3EFEC"/>
          </w:tcPr>
          <w:p>
            <w:pPr>
              <w:pStyle w:val="TableText"/>
            </w:pPr>
            <w:r>
              <w:rPr>
                <w:b/>
              </w:rPr>
              <w:t xml:space="preserve">TEL</w:t>
            </w:r>
          </w:p>
        </w:tc>
        <w:tc>
          <w:tcPr>
            <w:tcW w:w="6300" w:type="dxa"/>
          </w:tcPr>
          <w:p>
            <w:pPr>
              <w:pStyle w:val="TableText"/>
            </w:pPr>
            <w:r>
              <w:t xml:space="preserve">052-908-1661</w:t>
            </w:r>
          </w:p>
        </w:tc>
      </w:tr>
      <w:tr>
        <w:tc>
          <w:tcPr>
            <w:tcW w:w="2700" w:type="dxa"/>
            <w:shd w:val="clear" w:color="auto" w:fill="F3EFEC"/>
          </w:tcPr>
          <w:p>
            <w:pPr>
              <w:pStyle w:val="TableText"/>
            </w:pPr>
            <w:r>
              <w:rPr>
                <w:b/>
              </w:rPr>
              <w:t xml:space="preserve">FAX</w:t>
            </w:r>
          </w:p>
        </w:tc>
        <w:tc>
          <w:tcPr>
            <w:tcW w:w="6300" w:type="dxa"/>
          </w:tcPr>
          <w:p>
            <w:pPr>
              <w:pStyle w:val="TableText"/>
            </w:pPr>
            <w:r>
              <w:t xml:space="preserve">052-908-1662</w:t>
            </w:r>
          </w:p>
        </w:tc>
      </w:tr>
      <w:tr>
        <w:tc>
          <w:tcPr>
            <w:tcW w:w="2700" w:type="dxa"/>
            <w:shd w:val="clear" w:color="auto" w:fill="F3EFEC"/>
          </w:tcPr>
          <w:p>
            <w:pPr>
              <w:pStyle w:val="TableText"/>
            </w:pPr>
            <w:r>
              <w:rPr>
                <w:b/>
              </w:rPr>
              <w:t xml:space="preserve">設立日</w:t>
            </w:r>
          </w:p>
        </w:tc>
        <w:tc>
          <w:tcPr>
            <w:tcW w:w="6300" w:type="dxa"/>
          </w:tcPr>
          <w:p>
            <w:pPr>
              <w:pStyle w:val="TableText"/>
            </w:pPr>
            <w:r>
              <w:t xml:space="preserve">平成11年6月17日</w:t>
            </w:r>
          </w:p>
        </w:tc>
      </w:tr>
      <w:tr>
        <w:tc>
          <w:tcPr>
            <w:tcW w:w="2700" w:type="dxa"/>
            <w:shd w:val="clear" w:color="auto" w:fill="F3EFEC"/>
          </w:tcPr>
          <w:p>
            <w:pPr>
              <w:pStyle w:val="TableText"/>
            </w:pPr>
            <w:r>
              <w:rPr>
                <w:b/>
              </w:rPr>
              <w:t xml:space="preserve">代表者</w:t>
            </w:r>
          </w:p>
        </w:tc>
        <w:tc>
          <w:tcPr>
            <w:tcW w:w="6300" w:type="dxa"/>
          </w:tcPr>
          <w:p>
            <w:pPr>
              <w:pStyle w:val="TableText"/>
            </w:pPr>
            <w:r>
              <w:t xml:space="preserve">代表取締役社長 今井 亨治</w:t>
            </w:r>
          </w:p>
        </w:tc>
      </w:tr>
      <w:tr>
        <w:tc>
          <w:tcPr>
            <w:tcW w:w="2700" w:type="dxa"/>
            <w:shd w:val="clear" w:color="auto" w:fill="F3EFEC"/>
          </w:tcPr>
          <w:p>
            <w:pPr>
              <w:pStyle w:val="TableText"/>
            </w:pPr>
            <w:r>
              <w:rPr>
                <w:b/>
              </w:rPr>
              <w:t xml:space="preserve">資本金</w:t>
            </w:r>
          </w:p>
        </w:tc>
        <w:tc>
          <w:tcPr>
            <w:tcW w:w="6300" w:type="dxa"/>
          </w:tcPr>
          <w:p>
            <w:pPr>
              <w:pStyle w:val="TableText"/>
            </w:pPr>
            <w:r>
              <w:t xml:space="preserve">1000万円</w:t>
            </w:r>
          </w:p>
        </w:tc>
      </w:tr>
      <w:tr>
        <w:tc>
          <w:tcPr>
            <w:tcW w:w="2700" w:type="dxa"/>
            <w:shd w:val="clear" w:color="auto" w:fill="F3EFEC"/>
          </w:tcPr>
          <w:p>
            <w:pPr>
              <w:pStyle w:val="TableText"/>
            </w:pPr>
            <w:r>
              <w:rPr>
                <w:b/>
              </w:rPr>
              <w:t xml:space="preserve">事業内容</w:t>
            </w:r>
          </w:p>
        </w:tc>
        <w:tc>
          <w:tcPr>
            <w:tcW w:w="6300" w:type="dxa"/>
          </w:tcPr>
          <w:p>
            <w:pPr>
              <w:pStyle w:val="TableText"/>
            </w:pPr>
            <w:r>
              <w:t xml:space="preserve">土木工事に関する企画、調査、測量、設計、管理業務</w:t>
              <w:br/>
              <w:t xml:space="preserve">建設コンサルタント業［現場技術業務、施工計画・施工設備及び設計積算］</w:t>
              <w:br/>
              <w:t xml:space="preserve">労働者派遣事業</w:t>
              <w:br/>
              <w:t xml:space="preserve">有料職業紹介事業</w:t>
            </w:r>
          </w:p>
        </w:tc>
      </w:tr>
      <w:tr>
        <w:tc>
          <w:tcPr>
            <w:tcW w:w="2700" w:type="dxa"/>
            <w:shd w:val="clear" w:color="auto" w:fill="F3EFEC"/>
          </w:tcPr>
          <w:p>
            <w:pPr>
              <w:pStyle w:val="TableText"/>
            </w:pPr>
            <w:r>
              <w:rPr>
                <w:b/>
              </w:rPr>
              <w:t xml:space="preserve">登録</w:t>
            </w:r>
          </w:p>
        </w:tc>
        <w:tc>
          <w:tcPr>
            <w:tcW w:w="6300" w:type="dxa"/>
          </w:tcPr>
          <w:p>
            <w:pPr>
              <w:pStyle w:val="TableText"/>
            </w:pPr>
            <w:r>
              <w:t xml:space="preserve">労働者派遣事業(派23-303785) 令和3年6月1日登録</w:t>
              <w:br/>
              <w:t xml:space="preserve">有料職業紹介事業(23-ユ-302326) 令和3年6月1日登録</w:t>
            </w:r>
          </w:p>
        </w:tc>
      </w:tr>
      <w:tr>
        <w:tc>
          <w:tcPr>
            <w:tcW w:w="2700" w:type="dxa"/>
            <w:shd w:val="clear" w:color="auto" w:fill="F3EFEC"/>
          </w:tcPr>
          <w:p>
            <w:pPr>
              <w:pStyle w:val="TableText"/>
            </w:pPr>
            <w:r>
              <w:rPr>
                <w:b/>
              </w:rPr>
              <w:t xml:space="preserve">従業員</w:t>
            </w:r>
          </w:p>
        </w:tc>
        <w:tc>
          <w:tcPr>
            <w:tcW w:w="6300" w:type="dxa"/>
          </w:tcPr>
          <w:p>
            <w:pPr>
              <w:pStyle w:val="TableText"/>
            </w:pPr>
            <w:r>
              <w:t xml:space="preserve">58名</w:t>
            </w:r>
          </w:p>
        </w:tc>
      </w:tr>
      <w:tr>
        <w:tc>
          <w:tcPr>
            <w:tcW w:w="2700" w:type="dxa"/>
            <w:shd w:val="clear" w:color="auto" w:fill="F3EFEC"/>
          </w:tcPr>
          <w:p>
            <w:pPr>
              <w:pStyle w:val="TableText"/>
            </w:pPr>
            <w:r>
              <w:rPr>
                <w:b/>
              </w:rPr>
              <w:t xml:space="preserve">有資格者</w:t>
            </w:r>
          </w:p>
        </w:tc>
        <w:tc>
          <w:tcPr>
            <w:tcW w:w="6300" w:type="dxa"/>
          </w:tcPr>
          <w:p>
            <w:pPr>
              <w:pStyle w:val="TableText"/>
            </w:pPr>
            <w:r>
              <w:t xml:space="preserve">資格所有者一覧（数字で見るサン技建）</w:t>
            </w:r>
          </w:p>
        </w:tc>
      </w:tr>
      <w:tr>
        <w:tc>
          <w:tcPr>
            <w:tcW w:w="2700" w:type="dxa"/>
            <w:shd w:val="clear" w:color="auto" w:fill="F3EFEC"/>
          </w:tcPr>
          <w:p>
            <w:pPr>
              <w:pStyle w:val="TableText"/>
            </w:pPr>
            <w:r>
              <w:rPr>
                <w:b/>
              </w:rPr>
              <w:t xml:space="preserve">主要取引先</w:t>
            </w:r>
          </w:p>
        </w:tc>
        <w:tc>
          <w:tcPr>
            <w:tcW w:w="6300" w:type="dxa"/>
          </w:tcPr>
          <w:p>
            <w:pPr>
              <w:pStyle w:val="TableText"/>
            </w:pPr>
            <w:r>
              <w:t xml:space="preserve">本四高速道路ブリッジエンジ株式会社／株式会社アイ・ディー・エー／D-FRONTIER株式会社／株式会社アクアテルス／株式会社ヤマイチテクノ</w:t>
            </w:r>
          </w:p>
        </w:tc>
      </w:tr>
      <w:tr>
        <w:tc>
          <w:tcPr>
            <w:tcW w:w="2700" w:type="dxa"/>
            <w:shd w:val="clear" w:color="auto" w:fill="F3EFEC"/>
          </w:tcPr>
          <w:p>
            <w:pPr>
              <w:pStyle w:val="TableText"/>
            </w:pPr>
            <w:r>
              <w:rPr>
                <w:b/>
              </w:rPr>
              <w:t xml:space="preserve">主要取引銀行</w:t>
            </w:r>
          </w:p>
        </w:tc>
        <w:tc>
          <w:tcPr>
            <w:tcW w:w="6300" w:type="dxa"/>
          </w:tcPr>
          <w:p>
            <w:pPr>
              <w:pStyle w:val="TableText"/>
            </w:pPr>
            <w:r>
              <w:t xml:space="preserve">名古屋銀行、愛知銀行</w:t>
            </w:r>
          </w:p>
        </w:tc>
      </w:tr>
    </w:tbl>
    <w:p/>
    <w:p>
      <w:pPr>
        <w:pStyle w:val="Heading2"/>
      </w:pPr>
      <w:r>
        <w:t xml:space="preserve">沿革</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平成11年6月</w:t>
            </w:r>
          </w:p>
        </w:tc>
        <w:tc>
          <w:tcPr>
            <w:tcW w:w="6300" w:type="dxa"/>
          </w:tcPr>
          <w:p>
            <w:pPr>
              <w:pStyle w:val="TableText"/>
            </w:pPr>
            <w:r>
              <w:t xml:space="preserve">有限会社サン技建コンサルタント設立</w:t>
              <w:br/>
              <w:t xml:space="preserve">資本金：300万円、住所：名古屋市中村区名駅三丁目20番21</w:t>
            </w:r>
          </w:p>
        </w:tc>
      </w:tr>
      <w:tr>
        <w:tc>
          <w:tcPr>
            <w:tcW w:w="2700" w:type="dxa"/>
            <w:shd w:val="clear" w:color="auto" w:fill="F3EFEC"/>
          </w:tcPr>
          <w:p>
            <w:pPr>
              <w:pStyle w:val="TableText"/>
            </w:pPr>
            <w:r>
              <w:rPr>
                <w:b/>
              </w:rPr>
              <w:t xml:space="preserve">平成14年8月</w:t>
            </w:r>
          </w:p>
        </w:tc>
        <w:tc>
          <w:tcPr>
            <w:tcW w:w="6300" w:type="dxa"/>
          </w:tcPr>
          <w:p>
            <w:pPr>
              <w:pStyle w:val="TableText"/>
            </w:pPr>
            <w:r>
              <w:t xml:space="preserve">株式会社サン技建コンサルタントに組織変更</w:t>
            </w:r>
          </w:p>
        </w:tc>
      </w:tr>
      <w:tr>
        <w:tc>
          <w:tcPr>
            <w:tcW w:w="2700" w:type="dxa"/>
            <w:shd w:val="clear" w:color="auto" w:fill="F3EFEC"/>
          </w:tcPr>
          <w:p>
            <w:pPr>
              <w:pStyle w:val="TableText"/>
            </w:pPr>
            <w:r>
              <w:rPr>
                <w:b/>
              </w:rPr>
              <w:t xml:space="preserve">平成14年10月</w:t>
            </w:r>
          </w:p>
        </w:tc>
        <w:tc>
          <w:tcPr>
            <w:tcW w:w="6300" w:type="dxa"/>
          </w:tcPr>
          <w:p>
            <w:pPr>
              <w:pStyle w:val="TableText"/>
            </w:pPr>
            <w:r>
              <w:t xml:space="preserve">名古屋市中村区名駅三丁目23番26に移転、調査部開設</w:t>
            </w:r>
          </w:p>
        </w:tc>
      </w:tr>
      <w:tr>
        <w:tc>
          <w:tcPr>
            <w:tcW w:w="2700" w:type="dxa"/>
            <w:shd w:val="clear" w:color="auto" w:fill="F3EFEC"/>
          </w:tcPr>
          <w:p>
            <w:pPr>
              <w:pStyle w:val="TableText"/>
            </w:pPr>
            <w:r>
              <w:rPr>
                <w:b/>
              </w:rPr>
              <w:t xml:space="preserve">平成17年6月</w:t>
            </w:r>
          </w:p>
        </w:tc>
        <w:tc>
          <w:tcPr>
            <w:tcW w:w="6300" w:type="dxa"/>
          </w:tcPr>
          <w:p>
            <w:pPr>
              <w:pStyle w:val="TableText"/>
            </w:pPr>
            <w:r>
              <w:t xml:space="preserve">名古屋市中村区本陣通三丁目33番に移転</w:t>
            </w:r>
          </w:p>
        </w:tc>
      </w:tr>
      <w:tr>
        <w:tc>
          <w:tcPr>
            <w:tcW w:w="2700" w:type="dxa"/>
            <w:shd w:val="clear" w:color="auto" w:fill="F3EFEC"/>
          </w:tcPr>
          <w:p>
            <w:pPr>
              <w:pStyle w:val="TableText"/>
            </w:pPr>
            <w:r>
              <w:rPr>
                <w:b/>
              </w:rPr>
              <w:t xml:space="preserve">平成22年6月</w:t>
            </w:r>
          </w:p>
        </w:tc>
        <w:tc>
          <w:tcPr>
            <w:tcW w:w="6300" w:type="dxa"/>
          </w:tcPr>
          <w:p>
            <w:pPr>
              <w:pStyle w:val="TableText"/>
            </w:pPr>
            <w:r>
              <w:t xml:space="preserve">名古屋市中村区高道町三丁目2番1に移転</w:t>
            </w:r>
          </w:p>
        </w:tc>
      </w:tr>
      <w:tr>
        <w:tc>
          <w:tcPr>
            <w:tcW w:w="2700" w:type="dxa"/>
            <w:shd w:val="clear" w:color="auto" w:fill="F3EFEC"/>
          </w:tcPr>
          <w:p>
            <w:pPr>
              <w:pStyle w:val="TableText"/>
            </w:pPr>
            <w:r>
              <w:rPr>
                <w:b/>
              </w:rPr>
              <w:t xml:space="preserve">令和3年7月</w:t>
            </w:r>
          </w:p>
        </w:tc>
        <w:tc>
          <w:tcPr>
            <w:tcW w:w="6300" w:type="dxa"/>
          </w:tcPr>
          <w:p>
            <w:pPr>
              <w:pStyle w:val="TableText"/>
            </w:pPr>
            <w:r>
              <w:t xml:space="preserve">愛知県清須市須ケ口駅前一丁目10番地に移転</w:t>
            </w:r>
          </w:p>
        </w:tc>
      </w:tr>
      <w:tr>
        <w:tc>
          <w:tcPr>
            <w:tcW w:w="2700" w:type="dxa"/>
            <w:shd w:val="clear" w:color="auto" w:fill="F3EFEC"/>
          </w:tcPr>
          <w:p>
            <w:pPr>
              <w:pStyle w:val="TableText"/>
            </w:pPr>
            <w:r>
              <w:rPr>
                <w:b/>
              </w:rPr>
              <w:t xml:space="preserve">令和5年11月</w:t>
            </w:r>
          </w:p>
        </w:tc>
        <w:tc>
          <w:tcPr>
            <w:tcW w:w="6300" w:type="dxa"/>
          </w:tcPr>
          <w:p>
            <w:pPr>
              <w:pStyle w:val="TableText"/>
            </w:pPr>
            <w:r>
              <w:t xml:space="preserve">愛知県清須市須ケ口駅前一丁目17番地に移転</w:t>
            </w:r>
          </w:p>
        </w:tc>
      </w:tr>
    </w:tbl>
    <w:p/>
    <w:p>
      <w:pPr>
        <w:pStyle w:val="Heading2"/>
      </w:pPr>
      <w:r>
        <w:t xml:space="preserve">アクセス</w:t>
      </w:r>
    </w:p>
    <w:p>
      <w:pPr>
        <w:pStyle w:val="Photo"/>
      </w:pPr>
      <w:r>
        <w:t xml:space="preserve">写真：Googleマップ：本社</w:t>
      </w:r>
    </w:p>
    <w:p>
      <w:r>
        <w:t xml:space="preserve">〒452-0912 愛知県清須市須ケ口駅前一丁目17番地 メゾン須ケ口Ⅱ 2F</w:t>
      </w:r>
    </w:p>
    <w:sectPr>
      <w:pgSz w:w="11906" w:h="16838"/>
      <w:pgMar w:top="1300" w:right="1300" w:bottom="1300" w:left="1300" w:header="600" w:footer="600" w:gutter="0"/>
    </w:sectPr>
  </w:body>
</w:document>
</file>

<file path=word/settings.xml><?xml version="1.0" encoding="utf-8"?>
<w:settings xmlns:w="http://schemas.openxmlformats.org/wordprocessingml/2006/main">
  <w:trackRevisions/>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Yu Gothic" w:hAnsi="Yu Gothic" w:eastAsia="Yu Gothic" w:cs="Yu Gothic"/>
        <w:sz w:val="21"/>
        <w:szCs w:val="21"/>
        <w:lang w:val="en-US" w:eastAsia="ja-JP"/>
      </w:rPr>
    </w:rPrDefault>
    <w:pPrDefault>
      <w:pPr>
        <w:spacing w:after="120" w:line="320" w:lineRule="auto"/>
      </w:pPr>
    </w:pPrDefault>
  </w:docDefaults>
  <w:style w:type="paragraph" w:default="1" w:styleId="Normal">
    <w:name w:val="Normal"/>
  </w:style>
  <w:style w:type="paragraph" w:styleId="Title">
    <w:name w:val="Title"/>
    <w:basedOn w:val="Normal"/>
    <w:pPr>
      <w:pBdr>
        <w:bottom w:val="single" w:sz="12" w:space="4" w:color="1576D4"/>
      </w:pBdr>
      <w:spacing w:after="160"/>
    </w:pPr>
    <w:rPr>
      <w:b/>
      <w:sz w:val="36"/>
    </w:rPr>
  </w:style>
  <w:style w:type="paragraph" w:styleId="Heading1">
    <w:name w:val="heading 1"/>
    <w:basedOn w:val="Normal"/>
    <w:next w:val="Normal"/>
    <w:pPr>
      <w:keepNext/>
      <w:spacing w:before="240" w:after="120"/>
      <w:outlineLvl w:val="0"/>
    </w:pPr>
    <w:rPr>
      <w:b/>
      <w:sz w:val="30"/>
    </w:rPr>
  </w:style>
  <w:style w:type="paragraph" w:styleId="Heading2">
    <w:name w:val="heading 2"/>
    <w:basedOn w:val="Normal"/>
    <w:next w:val="Normal"/>
    <w:pPr>
      <w:keepNext/>
      <w:pBdr>
        <w:left w:val="single" w:sz="24" w:space="6" w:color="1576D4"/>
      </w:pBdr>
      <w:spacing w:before="320" w:after="120"/>
      <w:outlineLvl w:val="1"/>
    </w:pPr>
    <w:rPr>
      <w:b/>
      <w:sz w:val="26"/>
    </w:rPr>
  </w:style>
  <w:style w:type="paragraph" w:styleId="Heading3">
    <w:name w:val="heading 3"/>
    <w:basedOn w:val="Normal"/>
    <w:next w:val="Normal"/>
    <w:pPr>
      <w:keepNext/>
      <w:spacing w:before="200" w:after="80"/>
      <w:outlineLvl w:val="2"/>
    </w:pPr>
    <w:rPr>
      <w:b/>
      <w:sz w:val="22"/>
    </w:rPr>
  </w:style>
  <w:style w:type="paragraph" w:styleId="ListText">
    <w:name w:val="List Text"/>
    <w:basedOn w:val="Normal"/>
    <w:pPr>
      <w:ind w:left="240" w:hanging="240"/>
      <w:spacing w:after="60"/>
    </w:pPr>
  </w:style>
  <w:style w:type="paragraph" w:styleId="Photo">
    <w:name w:val="Photo Note"/>
    <w:basedOn w:val="Normal"/>
    <w:pPr>
      <w:shd w:val="clear" w:color="auto" w:fill="F3F3F3"/>
    </w:pPr>
    <w:rPr>
      <w:color w:val="666666"/>
      <w:sz w:val="18"/>
    </w:rPr>
  </w:style>
  <w:style w:type="paragraph" w:styleId="Question">
    <w:name w:val="Question"/>
    <w:basedOn w:val="Normal"/>
    <w:pPr>
      <w:spacing w:before="120" w:after="40"/>
    </w:pPr>
    <w:rPr>
      <w:b/>
    </w:rPr>
  </w:style>
  <w:style w:type="paragraph" w:styleId="Note">
    <w:name w:val="Note"/>
    <w:basedOn w:val="Normal"/>
    <w:rPr>
      <w:color w:val="666666"/>
      <w:sz w:val="18"/>
    </w:rPr>
  </w:style>
  <w:style w:type="paragraph" w:styleId="TableText">
    <w:name w:val="Table Text"/>
    <w:basedOn w:val="Normal"/>
    <w:pPr>
      <w:spacing w:after="0"/>
    </w:pPr>
    <w:rPr>
      <w:sz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